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0D" w:rsidRPr="00C62C13" w:rsidRDefault="00BB7395">
      <w:pPr>
        <w:spacing w:after="0" w:line="408" w:lineRule="auto"/>
        <w:ind w:left="120"/>
        <w:jc w:val="center"/>
        <w:rPr>
          <w:lang w:val="ru-RU"/>
        </w:rPr>
      </w:pPr>
      <w:bookmarkStart w:id="0" w:name="block-18870821"/>
      <w:r w:rsidRPr="00C62C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460D" w:rsidRPr="00C62C13" w:rsidRDefault="00BB7395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C62C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C62C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460D" w:rsidRPr="00C62C13" w:rsidRDefault="00904871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</w:t>
      </w:r>
      <w:r w:rsidRPr="00C62C13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="00BB7395" w:rsidRPr="00C62C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г. Невинномысска</w:t>
      </w:r>
      <w:bookmarkEnd w:id="2"/>
    </w:p>
    <w:p w:rsidR="0045460D" w:rsidRPr="00C62C13" w:rsidRDefault="00BB7395">
      <w:pPr>
        <w:spacing w:after="0" w:line="408" w:lineRule="auto"/>
        <w:ind w:left="120"/>
        <w:jc w:val="center"/>
        <w:rPr>
          <w:lang w:val="ru-RU"/>
        </w:rPr>
      </w:pPr>
      <w:r w:rsidRPr="00C62C13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45460D" w:rsidRPr="00C62C13" w:rsidRDefault="0045460D">
      <w:pPr>
        <w:spacing w:after="0"/>
        <w:ind w:left="120"/>
        <w:rPr>
          <w:lang w:val="ru-RU"/>
        </w:rPr>
      </w:pPr>
    </w:p>
    <w:p w:rsidR="0045460D" w:rsidRPr="00C62C13" w:rsidRDefault="0045460D">
      <w:pPr>
        <w:spacing w:after="0"/>
        <w:ind w:left="120"/>
        <w:rPr>
          <w:lang w:val="ru-RU"/>
        </w:rPr>
      </w:pPr>
    </w:p>
    <w:p w:rsidR="0045460D" w:rsidRPr="00C62C13" w:rsidRDefault="0045460D">
      <w:pPr>
        <w:spacing w:after="0"/>
        <w:ind w:left="120"/>
        <w:rPr>
          <w:lang w:val="ru-RU"/>
        </w:rPr>
      </w:pPr>
    </w:p>
    <w:p w:rsidR="0045460D" w:rsidRPr="00C62C13" w:rsidRDefault="0045460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B739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B739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E6975" w:rsidRPr="008944ED" w:rsidRDefault="002111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BB739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F0B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11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B739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B739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B739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739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4E6975" w:rsidRDefault="00BB739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11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B739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B739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B739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B739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0E6D86" w:rsidRDefault="00BB739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11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460D" w:rsidRDefault="0045460D">
      <w:pPr>
        <w:spacing w:after="0"/>
        <w:ind w:left="120"/>
      </w:pPr>
    </w:p>
    <w:p w:rsidR="0045460D" w:rsidRDefault="0045460D">
      <w:pPr>
        <w:spacing w:after="0"/>
        <w:ind w:left="120"/>
      </w:pPr>
    </w:p>
    <w:p w:rsidR="0045460D" w:rsidRDefault="0045460D">
      <w:pPr>
        <w:spacing w:after="0"/>
        <w:ind w:left="120"/>
      </w:pPr>
    </w:p>
    <w:p w:rsidR="0045460D" w:rsidRDefault="0045460D">
      <w:pPr>
        <w:spacing w:after="0"/>
        <w:ind w:left="120"/>
      </w:pPr>
    </w:p>
    <w:p w:rsidR="0045460D" w:rsidRDefault="0045460D">
      <w:pPr>
        <w:spacing w:after="0"/>
        <w:ind w:left="120"/>
      </w:pPr>
    </w:p>
    <w:p w:rsidR="0045460D" w:rsidRDefault="00BB739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460D" w:rsidRPr="00C62C13" w:rsidRDefault="00BB7395">
      <w:pPr>
        <w:spacing w:after="0" w:line="408" w:lineRule="auto"/>
        <w:ind w:left="120"/>
        <w:jc w:val="center"/>
        <w:rPr>
          <w:lang w:val="ru-RU"/>
        </w:rPr>
      </w:pPr>
      <w:r w:rsidRPr="00C62C1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45460D" w:rsidRPr="00C62C13" w:rsidRDefault="00BB7395">
      <w:pPr>
        <w:spacing w:after="0" w:line="408" w:lineRule="auto"/>
        <w:ind w:left="120"/>
        <w:jc w:val="center"/>
        <w:rPr>
          <w:lang w:val="ru-RU"/>
        </w:rPr>
      </w:pPr>
      <w:r w:rsidRPr="00C62C1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62C13">
        <w:rPr>
          <w:rFonts w:ascii="Calibri" w:hAnsi="Calibri"/>
          <w:color w:val="000000"/>
          <w:sz w:val="28"/>
          <w:lang w:val="ru-RU"/>
        </w:rPr>
        <w:t xml:space="preserve">– </w:t>
      </w:r>
      <w:r w:rsidRPr="00C62C1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 w:rsidP="00C62C13">
      <w:pPr>
        <w:spacing w:after="0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45460D" w:rsidRPr="00C62C13" w:rsidRDefault="0045460D">
      <w:pPr>
        <w:spacing w:after="0"/>
        <w:ind w:left="120"/>
        <w:jc w:val="center"/>
        <w:rPr>
          <w:lang w:val="ru-RU"/>
        </w:rPr>
      </w:pPr>
    </w:p>
    <w:p w:rsidR="00904871" w:rsidRDefault="00904871" w:rsidP="00C62C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3ace5c0-f913-49d8-975d-9ddb35d71a16"/>
    </w:p>
    <w:p w:rsidR="00904871" w:rsidRDefault="00904871" w:rsidP="00C62C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4871" w:rsidRDefault="00904871" w:rsidP="00C62C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4871" w:rsidRDefault="00904871" w:rsidP="00C62C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460D" w:rsidRPr="00C62C13" w:rsidRDefault="00BB7395" w:rsidP="00C62C13">
      <w:pPr>
        <w:spacing w:after="0"/>
        <w:ind w:left="120"/>
        <w:jc w:val="center"/>
        <w:rPr>
          <w:lang w:val="ru-RU"/>
        </w:rPr>
        <w:sectPr w:rsidR="0045460D" w:rsidRPr="00C62C13" w:rsidSect="00904871">
          <w:pgSz w:w="11906" w:h="16383"/>
          <w:pgMar w:top="1134" w:right="850" w:bottom="284" w:left="1701" w:header="720" w:footer="720" w:gutter="0"/>
          <w:cols w:space="720"/>
        </w:sectPr>
      </w:pPr>
      <w:r w:rsidRPr="00C62C13">
        <w:rPr>
          <w:rFonts w:ascii="Times New Roman" w:hAnsi="Times New Roman"/>
          <w:b/>
          <w:color w:val="000000"/>
          <w:sz w:val="28"/>
          <w:lang w:val="ru-RU"/>
        </w:rPr>
        <w:t>г. Невинномысск</w:t>
      </w:r>
      <w:bookmarkEnd w:id="3"/>
      <w:r w:rsidRPr="00C62C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2db4f7f-2e59-42a2-8842-975d7f5699d1"/>
      <w:r w:rsidRPr="00C62C1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3F0B03">
        <w:rPr>
          <w:rFonts w:ascii="Times New Roman" w:hAnsi="Times New Roman"/>
          <w:b/>
          <w:color w:val="000000"/>
          <w:sz w:val="28"/>
          <w:lang w:val="ru-RU"/>
        </w:rPr>
        <w:t>3</w:t>
      </w:r>
    </w:p>
    <w:p w:rsidR="0045460D" w:rsidRPr="002111CC" w:rsidRDefault="00BB7395" w:rsidP="00C62C1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8870820"/>
      <w:bookmarkEnd w:id="0"/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</w:t>
      </w:r>
      <w:proofErr w:type="gram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действий</w:t>
      </w:r>
      <w:proofErr w:type="gram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по освоению содержания биологического образования.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культуросообразного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гуманизации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биологического образования.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агробиотехнологий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45460D" w:rsidRPr="002111CC" w:rsidRDefault="0045460D">
      <w:pPr>
        <w:rPr>
          <w:rFonts w:ascii="Times New Roman" w:hAnsi="Times New Roman" w:cs="Times New Roman"/>
          <w:sz w:val="24"/>
          <w:szCs w:val="24"/>
          <w:lang w:val="ru-RU"/>
        </w:rPr>
        <w:sectPr w:rsidR="0045460D" w:rsidRPr="002111CC" w:rsidSect="002111CC">
          <w:pgSz w:w="11906" w:h="16383"/>
          <w:pgMar w:top="426" w:right="850" w:bottom="426" w:left="567" w:header="720" w:footer="720" w:gutter="0"/>
          <w:cols w:space="720"/>
        </w:sectPr>
      </w:pP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8870824"/>
      <w:bookmarkEnd w:id="5"/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Биология как наука.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Ч. Дарвин, Г. Мендель, Н. К. Кольцов, Дж. Уотсон и Ф. Крик.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«Методы познания живой природы».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Практическая работа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1. «Использование различных методов при изучении биологических объектов».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Живые системы и их организация.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экосистемный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(биогеоценотический), биосферный.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«Основные признаки жизни», «Уровни организации живой природы».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модель молекулы ДНК.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Химический состав и строение клетки.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воды и минеральных веществ в клетке. Поддержание осмотического баланса.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Углеводы: моносахариды (глюкоза, рибоза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дисахариды (сахароза, лактоза) и полисахариды (крахмал, гликоген, целлюлоза). Биологические функции углеводов.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Липиды: триглицериды, фосфолипиды, стероиды.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Гидрофильно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Типы клеток: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эукариотическая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Особенности строения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клетки. Клеточная стенка бактерий. Строение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клетки. Основные отличия растительной, животной и грибной клетки.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Поверхностные структуры клеток – клеточная стенка,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гликокаликс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Одномембранные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органоиды клетки: ЭПС, аппарат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Гольджи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лизосомы. Полуавтономные органоиды клетки: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митохондрии, пластиды. Происхождение митохондрий и пластид. Виды пластид.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Немембранные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веществ в клетке.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А. Левенгук, Р. Гук, Т. Шванн, М.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Шлейден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Р. Вирхов, Дж. Уотсон, Ф. Крик, М.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Уилкинс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Р. Франклин, К. М. Бэр.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клетки», «Строение ядра клетки», «Углеводы», «Липиды».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Жизнедеятельность клетки.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Фотосинтез. Световая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темновая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Хемосинтез.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Хемосинтезирующие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бактерии. Значение хемосинтеза для жизни на Земле.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фосфорилирование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Эффективность энергетического обмена.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интеграза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Профилактика распространения вирусных заболеваний.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Н. К. Кольцов, Д. И. Ивановский, К. А. Тимирязев.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Размножение и индивидуальное развитие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Программируемая гибель клетки –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апоптоз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Половое размножение, его отличия от бесполого.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4. «Изучение строения половых клеток на готовых микропрепаратах».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Наследственность и изменчивость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наследования 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Хромосомная теория наследственности. Генетические карты.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Генетика пола. Хромосомное определение пола.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Аутосомы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половые хромосомы.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Гомогаметные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гетерогаметные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организмы. Наследование признаков, сцепленных с полом.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изменчивости.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Внеядерная наследственность и изменчивость.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полногеномное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секвенирование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генотипирование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скрещивание», «Цитологические основы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Модификационная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скрещивания у дрозофилы на готовых микропрепаратах».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Лабораторная работа № 6. «Изучение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изменчивости, построение вариационного ряда и вариационной кривой».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7. «Анализ мутаций у дрозофилы на готовых микропрепаратах».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Практическая работа № 2. «Составление и анализ родословных человека».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7. Селекция организмов. Основы биотехнологии.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полиплоидов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Достижения селекции растений, животных и микроорганизмов.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трансгенных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Портреты: Н. И. Вавилов, И. В. Мичурин, Г. Д. Карпеченко, М. Ф. Иванов.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Экскурсия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агроуниверситета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научного центра)».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Эволюционная биология.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теория эволюции (СТЭ) и её основные положения.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Микроэволюция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Популяция как единица вида и эволюции.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Естественный отбор – направляющий фактор эволюции. Формы естественного отбора.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Приспособленность организмов как результат эволюции. Примеры приспособлений у организмов. Ароморфозы и идиоадаптации.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Северцов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1. «Сравнение видов по морфологическому критерию».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Возникновение и развитие жизни на Земле.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протоклетки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Первые клетки и их эволюция. Формирование основных групп живых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жизни на Земле по эрам и периодам.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Катархей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Мезозойская эра и её периоды: триасовый, юрский, меловой.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Кайнозойская эра и её периоды: палеогеновый, неогеновый, антропогеновый.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органического мира как отражение эволюции. Основные систематические группы организмов.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Ф.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Реди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Л. Пастер, А. И. Опарин, С. Миллер, Г.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Ч. Дарвин.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чопперы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Практическая работа № 1. «Изучение ископаемых остатков растений и животных в коллекциях».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Организмы и окружающая среда.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внутриорганизменная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квартиранство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нахлебничество).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Аменсализм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Демонстрации: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А. Гумбольдт, К. Ф.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Рулье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Э. Геккель.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Лабораторные и практические работы: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3. «Морфологические особенности растений из разных мест обитания».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Лабораторная работа № 4. «Влияние света на рост и развитие черенков колеуса».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Практическая работа № 2. «Подсчёт плотности популяций разных видов растений».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Сообщества и экологические системы.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консументы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редуценты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развитие. Сукцессия.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Антропогенные экосистемы.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Агроэкосистемы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Урбоэкосистемы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Биологическое и хозяйственное значение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агроэкосистем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урбоэкосистем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Человечество в биосфере Земли. Антропогенные изменения в биосфере. Глобальные экологические проблемы.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Демонстрации: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Портреты: А. Дж.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Тенсли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Н.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Сукачёв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И. Вернадский.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Агроценоз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45460D" w:rsidRPr="002111CC" w:rsidRDefault="0045460D">
      <w:pPr>
        <w:rPr>
          <w:rFonts w:ascii="Times New Roman" w:hAnsi="Times New Roman" w:cs="Times New Roman"/>
          <w:sz w:val="24"/>
          <w:szCs w:val="24"/>
          <w:lang w:val="ru-RU"/>
        </w:rPr>
        <w:sectPr w:rsidR="0045460D" w:rsidRPr="002111CC" w:rsidSect="002111CC">
          <w:pgSz w:w="11906" w:h="16383"/>
          <w:pgMar w:top="426" w:right="850" w:bottom="426" w:left="709" w:header="720" w:footer="720" w:gutter="0"/>
          <w:cols w:space="720"/>
        </w:sectPr>
      </w:pP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8870825"/>
      <w:bookmarkEnd w:id="6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5460D" w:rsidRPr="002111CC" w:rsidRDefault="00454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  <w:r w:rsid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эмоционального воздействия живой природы и её ценности;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социальной практике, готовности к участию в практической деятельности экологической направленности;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45460D" w:rsidRPr="002111CC" w:rsidRDefault="00454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460D" w:rsidRPr="002111CC" w:rsidRDefault="00454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биологические понятия для объяснения фактов и явлений живой природы;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45460D" w:rsidRPr="002111CC" w:rsidRDefault="00BB73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45460D" w:rsidRPr="002111CC" w:rsidRDefault="00454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8318760"/>
      <w:bookmarkStart w:id="9" w:name="_Toc134720971"/>
      <w:bookmarkEnd w:id="8"/>
      <w:bookmarkEnd w:id="9"/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5460D" w:rsidRPr="002111CC" w:rsidRDefault="00454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 w:rsidRPr="002111C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должны отражать: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учебного предмета «Биология» </w:t>
      </w:r>
      <w:r w:rsidRPr="002111C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должны отражать: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консументы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редуценты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цепи питания, экологическая пирамида, биогеоценоз, биосфера;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Северцова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консументов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редуцентов</w:t>
      </w:r>
      <w:proofErr w:type="spellEnd"/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45460D" w:rsidRPr="002111CC" w:rsidRDefault="00BB73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11C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45460D" w:rsidRPr="002111CC" w:rsidRDefault="0045460D">
      <w:pPr>
        <w:rPr>
          <w:rFonts w:ascii="Times New Roman" w:hAnsi="Times New Roman" w:cs="Times New Roman"/>
          <w:sz w:val="24"/>
          <w:szCs w:val="24"/>
          <w:lang w:val="ru-RU"/>
        </w:rPr>
        <w:sectPr w:rsidR="0045460D" w:rsidRPr="002111CC" w:rsidSect="002111CC">
          <w:pgSz w:w="11906" w:h="16383"/>
          <w:pgMar w:top="426" w:right="850" w:bottom="284" w:left="709" w:header="720" w:footer="720" w:gutter="0"/>
          <w:cols w:space="720"/>
        </w:sectPr>
      </w:pPr>
    </w:p>
    <w:p w:rsidR="0045460D" w:rsidRPr="002111CC" w:rsidRDefault="00BB73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8870819"/>
      <w:bookmarkEnd w:id="7"/>
      <w:r w:rsidRPr="002111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111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5460D" w:rsidRPr="002111CC" w:rsidRDefault="00BB73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5231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5920"/>
        <w:gridCol w:w="1483"/>
        <w:gridCol w:w="1841"/>
        <w:gridCol w:w="1910"/>
        <w:gridCol w:w="3050"/>
      </w:tblGrid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Живые системы и их организация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Химический состав и строение клетки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Жизнедеятельность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клетки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Наследственность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Селекция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организмов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биотехнологии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2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60D" w:rsidRPr="002111CC" w:rsidRDefault="0045460D">
      <w:pPr>
        <w:rPr>
          <w:rFonts w:ascii="Times New Roman" w:hAnsi="Times New Roman" w:cs="Times New Roman"/>
          <w:sz w:val="24"/>
          <w:szCs w:val="24"/>
        </w:rPr>
        <w:sectPr w:rsidR="0045460D" w:rsidRPr="00211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60D" w:rsidRPr="002111CC" w:rsidRDefault="00BB73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111C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5305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5693"/>
        <w:gridCol w:w="1572"/>
        <w:gridCol w:w="1841"/>
        <w:gridCol w:w="1910"/>
        <w:gridCol w:w="3036"/>
      </w:tblGrid>
      <w:tr w:rsidR="0045460D" w:rsidRPr="002111CC" w:rsidTr="002111CC">
        <w:trPr>
          <w:trHeight w:val="144"/>
          <w:tblCellSpacing w:w="20" w:type="nil"/>
        </w:trPr>
        <w:tc>
          <w:tcPr>
            <w:tcW w:w="1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11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460D" w:rsidRPr="002111CC" w:rsidRDefault="00454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Эволюционная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C62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C62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Организмы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окружающая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C62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111C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45460D" w:rsidRPr="002111CC" w:rsidTr="002111CC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C62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BB7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45460D" w:rsidRPr="002111CC" w:rsidRDefault="00454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60D" w:rsidRPr="002111CC" w:rsidRDefault="0045460D">
      <w:pPr>
        <w:rPr>
          <w:rFonts w:ascii="Times New Roman" w:hAnsi="Times New Roman" w:cs="Times New Roman"/>
          <w:sz w:val="24"/>
          <w:szCs w:val="24"/>
        </w:rPr>
        <w:sectPr w:rsidR="0045460D" w:rsidRPr="00211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460D" w:rsidRPr="002111CC" w:rsidRDefault="0045460D">
      <w:pPr>
        <w:rPr>
          <w:rFonts w:ascii="Times New Roman" w:hAnsi="Times New Roman" w:cs="Times New Roman"/>
          <w:sz w:val="24"/>
          <w:szCs w:val="24"/>
        </w:rPr>
        <w:sectPr w:rsidR="0045460D" w:rsidRPr="002111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B85" w:rsidRPr="002111CC" w:rsidRDefault="004A3B85" w:rsidP="002111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GoBack"/>
      <w:bookmarkEnd w:id="10"/>
      <w:bookmarkEnd w:id="11"/>
    </w:p>
    <w:sectPr w:rsidR="004A3B85" w:rsidRPr="002111CC" w:rsidSect="003F0B0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0D"/>
    <w:rsid w:val="002111CC"/>
    <w:rsid w:val="003F0B03"/>
    <w:rsid w:val="00433E91"/>
    <w:rsid w:val="0045460D"/>
    <w:rsid w:val="004A3B85"/>
    <w:rsid w:val="00530729"/>
    <w:rsid w:val="00801519"/>
    <w:rsid w:val="00904871"/>
    <w:rsid w:val="00BB7395"/>
    <w:rsid w:val="00C6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D88B"/>
  <w15:docId w15:val="{697D80F8-F45E-42B3-81DA-12D521C85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c7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8718</Words>
  <Characters>49697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 кабинет</dc:creator>
  <cp:lastModifiedBy>Бурьяница Ольга</cp:lastModifiedBy>
  <cp:revision>7</cp:revision>
  <dcterms:created xsi:type="dcterms:W3CDTF">2023-10-26T11:18:00Z</dcterms:created>
  <dcterms:modified xsi:type="dcterms:W3CDTF">2023-10-26T11:43:00Z</dcterms:modified>
</cp:coreProperties>
</file>